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E002A" w14:textId="77777777" w:rsidR="00DC7E62" w:rsidRDefault="00DC7E62">
      <w:pPr>
        <w:jc w:val="center"/>
      </w:pPr>
    </w:p>
    <w:tbl>
      <w:tblPr>
        <w:tblStyle w:val="a1"/>
        <w:tblW w:w="88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DC7E62" w14:paraId="7FFD4EC6" w14:textId="77777777">
        <w:tc>
          <w:tcPr>
            <w:tcW w:w="4414" w:type="dxa"/>
          </w:tcPr>
          <w:p w14:paraId="11091477" w14:textId="77777777" w:rsidR="00DC7E62" w:rsidRDefault="00000000">
            <w:r>
              <w:t>Taller de Expertos</w:t>
            </w:r>
          </w:p>
        </w:tc>
        <w:tc>
          <w:tcPr>
            <w:tcW w:w="4414" w:type="dxa"/>
          </w:tcPr>
          <w:p w14:paraId="2462DE77" w14:textId="77777777" w:rsidR="00DC7E62" w:rsidRDefault="00000000">
            <w:r>
              <w:t xml:space="preserve">Guía de </w:t>
            </w:r>
            <w:proofErr w:type="gramStart"/>
            <w:r>
              <w:t>apoyo :</w:t>
            </w:r>
            <w:proofErr w:type="gramEnd"/>
            <w:r>
              <w:t xml:space="preserve"> presiones</w:t>
            </w:r>
          </w:p>
        </w:tc>
      </w:tr>
    </w:tbl>
    <w:p w14:paraId="33C3F013" w14:textId="77777777" w:rsidR="00DC7E62" w:rsidRDefault="00DC7E62"/>
    <w:tbl>
      <w:tblPr>
        <w:tblStyle w:val="a2"/>
        <w:tblW w:w="88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2"/>
        <w:gridCol w:w="1830"/>
        <w:gridCol w:w="4050"/>
      </w:tblGrid>
      <w:tr w:rsidR="00DC7E62" w14:paraId="0EA95AAE" w14:textId="77777777">
        <w:tc>
          <w:tcPr>
            <w:tcW w:w="2942" w:type="dxa"/>
            <w:vAlign w:val="center"/>
          </w:tcPr>
          <w:p w14:paraId="7EDDE356" w14:textId="77777777" w:rsidR="00DC7E62" w:rsidRDefault="00000000">
            <w:r>
              <w:t>Presión</w:t>
            </w:r>
          </w:p>
        </w:tc>
        <w:tc>
          <w:tcPr>
            <w:tcW w:w="1830" w:type="dxa"/>
            <w:vAlign w:val="center"/>
          </w:tcPr>
          <w:p w14:paraId="216763AA" w14:textId="77777777" w:rsidR="00DC7E62" w:rsidRDefault="00000000">
            <w:r>
              <w:t>Categoría</w:t>
            </w:r>
          </w:p>
        </w:tc>
        <w:tc>
          <w:tcPr>
            <w:tcW w:w="4050" w:type="dxa"/>
            <w:vAlign w:val="center"/>
          </w:tcPr>
          <w:p w14:paraId="16672955" w14:textId="77777777" w:rsidR="00DC7E62" w:rsidRDefault="00000000">
            <w:r>
              <w:t xml:space="preserve">Descripción </w:t>
            </w:r>
          </w:p>
        </w:tc>
      </w:tr>
      <w:tr w:rsidR="00DC7E62" w14:paraId="7E055CC1" w14:textId="77777777">
        <w:tc>
          <w:tcPr>
            <w:tcW w:w="2942" w:type="dxa"/>
            <w:vAlign w:val="center"/>
          </w:tcPr>
          <w:p w14:paraId="12086C8D" w14:textId="77777777" w:rsidR="00DC7E62" w:rsidRDefault="00000000">
            <w:r>
              <w:t>Contaminación química</w:t>
            </w:r>
          </w:p>
          <w:p w14:paraId="68391E8F" w14:textId="77777777" w:rsidR="00DC7E62" w:rsidRDefault="00DC7E62"/>
        </w:tc>
        <w:tc>
          <w:tcPr>
            <w:tcW w:w="1830" w:type="dxa"/>
            <w:vAlign w:val="center"/>
          </w:tcPr>
          <w:p w14:paraId="72563CC5" w14:textId="77777777" w:rsidR="00DC7E62" w:rsidRDefault="00000000">
            <w:r>
              <w:t xml:space="preserve">Contaminación </w:t>
            </w:r>
          </w:p>
        </w:tc>
        <w:tc>
          <w:tcPr>
            <w:tcW w:w="4050" w:type="dxa"/>
            <w:vAlign w:val="center"/>
          </w:tcPr>
          <w:p w14:paraId="71665630" w14:textId="77777777" w:rsidR="00DC7E62" w:rsidRDefault="00000000">
            <w:r>
              <w:t xml:space="preserve">Aporte de agroquímicos al suelo agrícola en las 3 </w:t>
            </w:r>
            <w:proofErr w:type="spellStart"/>
            <w:r>
              <w:t>mn</w:t>
            </w:r>
            <w:proofErr w:type="spellEnd"/>
            <w:r>
              <w:t xml:space="preserve"> desde la línea de costa hacia el interior (kg/km2)</w:t>
            </w:r>
          </w:p>
        </w:tc>
      </w:tr>
      <w:tr w:rsidR="00DC7E62" w14:paraId="511C0B0E" w14:textId="77777777">
        <w:tc>
          <w:tcPr>
            <w:tcW w:w="2942" w:type="dxa"/>
            <w:vAlign w:val="center"/>
          </w:tcPr>
          <w:p w14:paraId="2EC458EB" w14:textId="77777777" w:rsidR="00DC7E62" w:rsidRDefault="00000000">
            <w:r>
              <w:t>Contaminación por patógenos</w:t>
            </w:r>
          </w:p>
          <w:p w14:paraId="3D93EC23" w14:textId="77777777" w:rsidR="00DC7E62" w:rsidRDefault="00000000">
            <w:r>
              <w:t>antrópicos</w:t>
            </w:r>
          </w:p>
        </w:tc>
        <w:tc>
          <w:tcPr>
            <w:tcW w:w="1830" w:type="dxa"/>
            <w:vAlign w:val="center"/>
          </w:tcPr>
          <w:p w14:paraId="6ED6E077" w14:textId="77777777" w:rsidR="00DC7E62" w:rsidRDefault="00000000">
            <w:r>
              <w:t>Contaminación</w:t>
            </w:r>
          </w:p>
        </w:tc>
        <w:tc>
          <w:tcPr>
            <w:tcW w:w="4050" w:type="dxa"/>
            <w:vAlign w:val="center"/>
          </w:tcPr>
          <w:p w14:paraId="446E28B2" w14:textId="77777777" w:rsidR="00DC7E62" w:rsidRDefault="00000000">
            <w:r>
              <w:t>Población sin acceso a instalaciones de saneamiento mejoradas, tratamiento terciario (% población)</w:t>
            </w:r>
          </w:p>
        </w:tc>
      </w:tr>
      <w:tr w:rsidR="00DC7E62" w14:paraId="19CB5A0B" w14:textId="77777777">
        <w:tc>
          <w:tcPr>
            <w:tcW w:w="2942" w:type="dxa"/>
            <w:vAlign w:val="center"/>
          </w:tcPr>
          <w:p w14:paraId="3BE1027C" w14:textId="77777777" w:rsidR="00DC7E62" w:rsidRDefault="00000000">
            <w:r>
              <w:t>Contaminación por floración de algas nocivas (FAN)</w:t>
            </w:r>
          </w:p>
        </w:tc>
        <w:tc>
          <w:tcPr>
            <w:tcW w:w="1830" w:type="dxa"/>
            <w:vAlign w:val="center"/>
          </w:tcPr>
          <w:p w14:paraId="42292630" w14:textId="77777777" w:rsidR="00DC7E62" w:rsidRDefault="00000000">
            <w:r>
              <w:t xml:space="preserve">Contaminación </w:t>
            </w:r>
          </w:p>
        </w:tc>
        <w:tc>
          <w:tcPr>
            <w:tcW w:w="4050" w:type="dxa"/>
            <w:vAlign w:val="center"/>
          </w:tcPr>
          <w:p w14:paraId="3FAAE2CB" w14:textId="77777777" w:rsidR="00DC7E62" w:rsidRDefault="00000000">
            <w:r>
              <w:t>Incidencia temporal por FAN (%)</w:t>
            </w:r>
          </w:p>
        </w:tc>
      </w:tr>
      <w:tr w:rsidR="00DC7E62" w14:paraId="661470DA" w14:textId="77777777">
        <w:tc>
          <w:tcPr>
            <w:tcW w:w="2942" w:type="dxa"/>
            <w:vAlign w:val="center"/>
          </w:tcPr>
          <w:p w14:paraId="294A18BC" w14:textId="77777777" w:rsidR="00DC7E62" w:rsidRDefault="00000000">
            <w:r>
              <w:t>Contaminación por nutrientes de origen terrestre</w:t>
            </w:r>
          </w:p>
        </w:tc>
        <w:tc>
          <w:tcPr>
            <w:tcW w:w="1830" w:type="dxa"/>
            <w:vAlign w:val="center"/>
          </w:tcPr>
          <w:p w14:paraId="1AA3BBBE" w14:textId="77777777" w:rsidR="00DC7E62" w:rsidRDefault="00000000">
            <w:r>
              <w:t>Contaminación</w:t>
            </w:r>
          </w:p>
        </w:tc>
        <w:tc>
          <w:tcPr>
            <w:tcW w:w="4050" w:type="dxa"/>
            <w:vAlign w:val="center"/>
          </w:tcPr>
          <w:p w14:paraId="16661A87" w14:textId="77777777" w:rsidR="00DC7E62" w:rsidRDefault="00000000">
            <w:r>
              <w:t xml:space="preserve">Aporte de fertilizantes al suelo agrícola en las 3 </w:t>
            </w:r>
            <w:proofErr w:type="spellStart"/>
            <w:r>
              <w:t>mn</w:t>
            </w:r>
            <w:proofErr w:type="spellEnd"/>
            <w:r>
              <w:t xml:space="preserve"> desde la línea de costa hacia el interior (ton/km2)</w:t>
            </w:r>
          </w:p>
        </w:tc>
      </w:tr>
      <w:tr w:rsidR="00DC7E62" w14:paraId="19E404B9" w14:textId="77777777">
        <w:tc>
          <w:tcPr>
            <w:tcW w:w="2942" w:type="dxa"/>
            <w:vAlign w:val="center"/>
          </w:tcPr>
          <w:p w14:paraId="393A43CC" w14:textId="77777777" w:rsidR="00DC7E62" w:rsidRDefault="00000000">
            <w:r>
              <w:t>Contaminación por basura domiciliaria</w:t>
            </w:r>
          </w:p>
        </w:tc>
        <w:tc>
          <w:tcPr>
            <w:tcW w:w="1830" w:type="dxa"/>
            <w:vAlign w:val="center"/>
          </w:tcPr>
          <w:p w14:paraId="0B47B278" w14:textId="77777777" w:rsidR="00DC7E62" w:rsidRDefault="00000000">
            <w:r>
              <w:t>Contaminación</w:t>
            </w:r>
          </w:p>
        </w:tc>
        <w:tc>
          <w:tcPr>
            <w:tcW w:w="4050" w:type="dxa"/>
            <w:vAlign w:val="center"/>
          </w:tcPr>
          <w:p w14:paraId="58965266" w14:textId="77777777" w:rsidR="00DC7E62" w:rsidRDefault="00000000">
            <w:r>
              <w:t xml:space="preserve">Potencial generación de basura domiciliaria utilizando como </w:t>
            </w:r>
            <w:proofErr w:type="gramStart"/>
            <w:r>
              <w:t>proxy  la</w:t>
            </w:r>
            <w:proofErr w:type="gramEnd"/>
            <w:r>
              <w:t xml:space="preserve"> población en la línea de costa (personas/km2)</w:t>
            </w:r>
          </w:p>
        </w:tc>
      </w:tr>
      <w:tr w:rsidR="00DC7E62" w14:paraId="3AA45FFF" w14:textId="77777777">
        <w:tc>
          <w:tcPr>
            <w:tcW w:w="2942" w:type="dxa"/>
            <w:vAlign w:val="center"/>
          </w:tcPr>
          <w:p w14:paraId="5B95F5BC" w14:textId="77777777" w:rsidR="00DC7E62" w:rsidRDefault="00000000">
            <w:r>
              <w:t>Escape de salmones</w:t>
            </w:r>
          </w:p>
        </w:tc>
        <w:tc>
          <w:tcPr>
            <w:tcW w:w="1830" w:type="dxa"/>
            <w:vAlign w:val="center"/>
          </w:tcPr>
          <w:p w14:paraId="230126E8" w14:textId="77777777" w:rsidR="00DC7E62" w:rsidRDefault="00000000">
            <w:r>
              <w:t>Especies invasoras</w:t>
            </w:r>
          </w:p>
        </w:tc>
        <w:tc>
          <w:tcPr>
            <w:tcW w:w="4050" w:type="dxa"/>
            <w:vAlign w:val="center"/>
          </w:tcPr>
          <w:p w14:paraId="7E3E648D" w14:textId="77777777" w:rsidR="00DC7E62" w:rsidRDefault="00000000">
            <w:r>
              <w:t>Número de individuos promedio de salmones escapados desde centros de cultivo</w:t>
            </w:r>
          </w:p>
        </w:tc>
      </w:tr>
      <w:tr w:rsidR="00DC7E62" w14:paraId="0F50CF0C" w14:textId="77777777">
        <w:tc>
          <w:tcPr>
            <w:tcW w:w="2942" w:type="dxa"/>
            <w:vAlign w:val="center"/>
          </w:tcPr>
          <w:p w14:paraId="4F038D55" w14:textId="77777777" w:rsidR="00DC7E62" w:rsidRDefault="00000000">
            <w:r>
              <w:t xml:space="preserve">Destrucción de </w:t>
            </w:r>
            <w:proofErr w:type="gramStart"/>
            <w:r>
              <w:t>hábitat  marino</w:t>
            </w:r>
            <w:proofErr w:type="gramEnd"/>
            <w:r>
              <w:t xml:space="preserve"> por salmonicultura</w:t>
            </w:r>
          </w:p>
          <w:p w14:paraId="5651CB99" w14:textId="77777777" w:rsidR="00DC7E62" w:rsidRDefault="00DC7E62"/>
        </w:tc>
        <w:tc>
          <w:tcPr>
            <w:tcW w:w="1830" w:type="dxa"/>
            <w:vAlign w:val="center"/>
          </w:tcPr>
          <w:p w14:paraId="1AFC7EA2" w14:textId="77777777" w:rsidR="00DC7E62" w:rsidRDefault="00000000">
            <w:r>
              <w:t xml:space="preserve">Destrucción de hábitat  </w:t>
            </w:r>
          </w:p>
        </w:tc>
        <w:tc>
          <w:tcPr>
            <w:tcW w:w="4050" w:type="dxa"/>
            <w:vAlign w:val="center"/>
          </w:tcPr>
          <w:p w14:paraId="6392BC5B" w14:textId="77777777" w:rsidR="00DC7E62" w:rsidRDefault="00000000">
            <w:r>
              <w:t>Porcentaje promedio de calificación anaeróbica en centros de cultivo registrado en los resultados de los informes ambientales (</w:t>
            </w:r>
            <w:proofErr w:type="spellStart"/>
            <w:r>
              <w:t>INFAs</w:t>
            </w:r>
            <w:proofErr w:type="spellEnd"/>
            <w:r>
              <w:t>) realizadas en cada centro de cultivo.</w:t>
            </w:r>
          </w:p>
        </w:tc>
      </w:tr>
      <w:tr w:rsidR="00DC7E62" w14:paraId="6161D8BA" w14:textId="77777777">
        <w:tc>
          <w:tcPr>
            <w:tcW w:w="2942" w:type="dxa"/>
            <w:vAlign w:val="center"/>
          </w:tcPr>
          <w:p w14:paraId="2A23A6A0" w14:textId="77777777" w:rsidR="00DC7E62" w:rsidRDefault="00000000">
            <w:r>
              <w:t>Destrucción de hábitat costero por población</w:t>
            </w:r>
          </w:p>
        </w:tc>
        <w:tc>
          <w:tcPr>
            <w:tcW w:w="1830" w:type="dxa"/>
            <w:vAlign w:val="center"/>
          </w:tcPr>
          <w:p w14:paraId="34BC027F" w14:textId="77777777" w:rsidR="00DC7E62" w:rsidRDefault="00000000">
            <w:r>
              <w:t xml:space="preserve">Destrucción de hábitat </w:t>
            </w:r>
          </w:p>
        </w:tc>
        <w:tc>
          <w:tcPr>
            <w:tcW w:w="4050" w:type="dxa"/>
            <w:vAlign w:val="center"/>
          </w:tcPr>
          <w:p w14:paraId="2BB888B9" w14:textId="77777777" w:rsidR="00DC7E62" w:rsidRDefault="00000000">
            <w:r>
              <w:t>Potencial de destrucción de hábitat por población de línea de costa (personas/km2)</w:t>
            </w:r>
          </w:p>
        </w:tc>
      </w:tr>
      <w:tr w:rsidR="00DC7E62" w14:paraId="3912DF80" w14:textId="77777777">
        <w:tc>
          <w:tcPr>
            <w:tcW w:w="2942" w:type="dxa"/>
            <w:vAlign w:val="center"/>
          </w:tcPr>
          <w:p w14:paraId="01C44844" w14:textId="77777777" w:rsidR="00DC7E62" w:rsidRDefault="00000000">
            <w:r>
              <w:t xml:space="preserve">Pesca Ilegal </w:t>
            </w:r>
          </w:p>
        </w:tc>
        <w:tc>
          <w:tcPr>
            <w:tcW w:w="1830" w:type="dxa"/>
            <w:vAlign w:val="center"/>
          </w:tcPr>
          <w:p w14:paraId="6215135F" w14:textId="77777777" w:rsidR="00DC7E62" w:rsidRDefault="00000000">
            <w:r>
              <w:t xml:space="preserve">Presión de pesca  </w:t>
            </w:r>
          </w:p>
        </w:tc>
        <w:tc>
          <w:tcPr>
            <w:tcW w:w="4050" w:type="dxa"/>
            <w:vAlign w:val="center"/>
          </w:tcPr>
          <w:p w14:paraId="5D9505F8" w14:textId="77777777" w:rsidR="00DC7E62" w:rsidRDefault="00000000">
            <w:r>
              <w:t xml:space="preserve">Número de citaciones a tribunales por infracciones a la ley de pesca </w:t>
            </w:r>
            <w:proofErr w:type="gramStart"/>
            <w:r>
              <w:t>en relación al</w:t>
            </w:r>
            <w:proofErr w:type="gramEnd"/>
            <w:r>
              <w:t xml:space="preserve"> desembarque de cada comuna como proxy de magnitud de la pesca ilegal </w:t>
            </w:r>
          </w:p>
        </w:tc>
      </w:tr>
      <w:tr w:rsidR="00DC7E62" w14:paraId="7056EDD8" w14:textId="77777777">
        <w:tc>
          <w:tcPr>
            <w:tcW w:w="2942" w:type="dxa"/>
            <w:vAlign w:val="center"/>
          </w:tcPr>
          <w:p w14:paraId="2414F443" w14:textId="77777777" w:rsidR="00DC7E62" w:rsidRDefault="00000000">
            <w:r>
              <w:t>Insostenibilidad por arte de pesca</w:t>
            </w:r>
          </w:p>
        </w:tc>
        <w:tc>
          <w:tcPr>
            <w:tcW w:w="1830" w:type="dxa"/>
            <w:vAlign w:val="center"/>
          </w:tcPr>
          <w:p w14:paraId="52EB821C" w14:textId="77777777" w:rsidR="00DC7E62" w:rsidRDefault="00000000">
            <w:r>
              <w:t xml:space="preserve">Presión de pesca </w:t>
            </w:r>
          </w:p>
        </w:tc>
        <w:tc>
          <w:tcPr>
            <w:tcW w:w="4050" w:type="dxa"/>
            <w:vAlign w:val="center"/>
          </w:tcPr>
          <w:p w14:paraId="2FEB48DC" w14:textId="77777777" w:rsidR="00DC7E62" w:rsidRDefault="00000000">
            <w:r>
              <w:t>Promedio del porcentaje de desembarque de cada arte de pesca en cada caleta ponderado por el coeficiente de sostenibilidad de cada arte</w:t>
            </w:r>
          </w:p>
        </w:tc>
      </w:tr>
      <w:tr w:rsidR="00DC7E62" w14:paraId="0814521F" w14:textId="77777777">
        <w:tc>
          <w:tcPr>
            <w:tcW w:w="2942" w:type="dxa"/>
            <w:vAlign w:val="center"/>
          </w:tcPr>
          <w:p w14:paraId="51EF7413" w14:textId="77777777" w:rsidR="00DC7E62" w:rsidRDefault="00000000">
            <w:r>
              <w:t>Anomalías de temperatura</w:t>
            </w:r>
          </w:p>
        </w:tc>
        <w:tc>
          <w:tcPr>
            <w:tcW w:w="1830" w:type="dxa"/>
            <w:vAlign w:val="center"/>
          </w:tcPr>
          <w:p w14:paraId="6A44D970" w14:textId="77777777" w:rsidR="00DC7E62" w:rsidRDefault="00000000">
            <w:r>
              <w:t>Cambio climático</w:t>
            </w:r>
          </w:p>
        </w:tc>
        <w:tc>
          <w:tcPr>
            <w:tcW w:w="4050" w:type="dxa"/>
            <w:vAlign w:val="center"/>
          </w:tcPr>
          <w:p w14:paraId="6E568409" w14:textId="77777777" w:rsidR="00DC7E62" w:rsidRDefault="00000000">
            <w:r>
              <w:t>Variación de los rangos normales en la temperatura superficial del océano (</w:t>
            </w:r>
            <w:r>
              <w:rPr>
                <w:color w:val="4D5156"/>
                <w:highlight w:val="white"/>
              </w:rPr>
              <w:t xml:space="preserve">°C) </w:t>
            </w:r>
          </w:p>
        </w:tc>
      </w:tr>
      <w:tr w:rsidR="00DC7E62" w14:paraId="45F3B690" w14:textId="77777777">
        <w:tc>
          <w:tcPr>
            <w:tcW w:w="2942" w:type="dxa"/>
            <w:vAlign w:val="center"/>
          </w:tcPr>
          <w:p w14:paraId="0E9F24B0" w14:textId="77777777" w:rsidR="00DC7E62" w:rsidRDefault="00000000">
            <w:r>
              <w:t>Acidificación del mar</w:t>
            </w:r>
          </w:p>
        </w:tc>
        <w:tc>
          <w:tcPr>
            <w:tcW w:w="1830" w:type="dxa"/>
            <w:vAlign w:val="center"/>
          </w:tcPr>
          <w:p w14:paraId="0A4F3AF9" w14:textId="77777777" w:rsidR="00DC7E62" w:rsidRDefault="00000000">
            <w:r>
              <w:t xml:space="preserve">Cambio climático </w:t>
            </w:r>
          </w:p>
        </w:tc>
        <w:tc>
          <w:tcPr>
            <w:tcW w:w="4050" w:type="dxa"/>
            <w:vAlign w:val="center"/>
          </w:tcPr>
          <w:p w14:paraId="1C961D6E" w14:textId="77777777" w:rsidR="00DC7E62" w:rsidRDefault="00000000">
            <w:r>
              <w:t>Cambios en la concentración de CO2 y su alteración sobre el estado de saturación de aragonito del océano (índice de Halpern et al. 2008).</w:t>
            </w:r>
          </w:p>
        </w:tc>
      </w:tr>
      <w:tr w:rsidR="00DC7E62" w14:paraId="6BCDE9E8" w14:textId="77777777">
        <w:tc>
          <w:tcPr>
            <w:tcW w:w="2942" w:type="dxa"/>
            <w:vAlign w:val="center"/>
          </w:tcPr>
          <w:p w14:paraId="31AF9598" w14:textId="77777777" w:rsidR="00DC7E62" w:rsidRDefault="00000000">
            <w:r>
              <w:lastRenderedPageBreak/>
              <w:t>Aumento del nivel del mar</w:t>
            </w:r>
          </w:p>
        </w:tc>
        <w:tc>
          <w:tcPr>
            <w:tcW w:w="1830" w:type="dxa"/>
            <w:vAlign w:val="center"/>
          </w:tcPr>
          <w:p w14:paraId="380AB58C" w14:textId="77777777" w:rsidR="00DC7E62" w:rsidRDefault="00000000">
            <w:r>
              <w:t xml:space="preserve">Cambio climático </w:t>
            </w:r>
          </w:p>
        </w:tc>
        <w:tc>
          <w:tcPr>
            <w:tcW w:w="4050" w:type="dxa"/>
            <w:vAlign w:val="center"/>
          </w:tcPr>
          <w:p w14:paraId="0DE380B9" w14:textId="77777777" w:rsidR="00DC7E62" w:rsidRDefault="00000000">
            <w:r>
              <w:t>Superficie de la costa potencialmente inundada debido al cambio de la cota de inundación proyectada por el MMA.</w:t>
            </w:r>
          </w:p>
        </w:tc>
      </w:tr>
      <w:tr w:rsidR="00DC7E62" w14:paraId="4C143BCE" w14:textId="77777777">
        <w:tc>
          <w:tcPr>
            <w:tcW w:w="2942" w:type="dxa"/>
            <w:vAlign w:val="center"/>
          </w:tcPr>
          <w:p w14:paraId="55936C08" w14:textId="77777777" w:rsidR="00DC7E62" w:rsidRDefault="00000000">
            <w:r>
              <w:t>Debilidad de gobernanza</w:t>
            </w:r>
          </w:p>
        </w:tc>
        <w:tc>
          <w:tcPr>
            <w:tcW w:w="1830" w:type="dxa"/>
            <w:vAlign w:val="center"/>
          </w:tcPr>
          <w:p w14:paraId="13A44766" w14:textId="77777777" w:rsidR="00DC7E62" w:rsidRDefault="00000000">
            <w:r>
              <w:t xml:space="preserve">Social </w:t>
            </w:r>
          </w:p>
        </w:tc>
        <w:tc>
          <w:tcPr>
            <w:tcW w:w="4050" w:type="dxa"/>
            <w:vAlign w:val="center"/>
          </w:tcPr>
          <w:p w14:paraId="2053DB64" w14:textId="77777777" w:rsidR="00DC7E62" w:rsidRDefault="00000000">
            <w:r>
              <w:t xml:space="preserve">La falta de gobernanza se construye como el inverso de tres variables ponderadas: Existencia de plan regulador, Existencia de zonificación del borde costero, y número de organizaciones comunitarias </w:t>
            </w:r>
            <w:proofErr w:type="gramStart"/>
            <w:r>
              <w:t>en relación a</w:t>
            </w:r>
            <w:proofErr w:type="gramEnd"/>
            <w:r>
              <w:t xml:space="preserve"> la población comunal. </w:t>
            </w:r>
          </w:p>
        </w:tc>
      </w:tr>
      <w:tr w:rsidR="00DC7E62" w14:paraId="69BED01E" w14:textId="77777777">
        <w:tc>
          <w:tcPr>
            <w:tcW w:w="2942" w:type="dxa"/>
            <w:vAlign w:val="center"/>
          </w:tcPr>
          <w:p w14:paraId="3F473BAE" w14:textId="77777777" w:rsidR="00DC7E62" w:rsidRDefault="00000000">
            <w:r>
              <w:t xml:space="preserve">Densidad de centros de cultivo </w:t>
            </w:r>
          </w:p>
        </w:tc>
        <w:tc>
          <w:tcPr>
            <w:tcW w:w="1830" w:type="dxa"/>
            <w:vAlign w:val="center"/>
          </w:tcPr>
          <w:p w14:paraId="2AC966FE" w14:textId="77777777" w:rsidR="00DC7E62" w:rsidRDefault="00000000">
            <w:r>
              <w:t xml:space="preserve">Infraestructura </w:t>
            </w:r>
          </w:p>
        </w:tc>
        <w:tc>
          <w:tcPr>
            <w:tcW w:w="4050" w:type="dxa"/>
            <w:vAlign w:val="center"/>
          </w:tcPr>
          <w:p w14:paraId="0B80DD84" w14:textId="77777777" w:rsidR="00DC7E62" w:rsidRDefault="00000000">
            <w:r>
              <w:t xml:space="preserve">Densidad </w:t>
            </w:r>
            <w:proofErr w:type="gramStart"/>
            <w:r>
              <w:t>de  centros</w:t>
            </w:r>
            <w:proofErr w:type="gramEnd"/>
            <w:r>
              <w:t xml:space="preserve"> de cultivo de mitílidos y salmónidos, estimado por densidad de </w:t>
            </w:r>
            <w:proofErr w:type="spellStart"/>
            <w:r>
              <w:t>Kernel</w:t>
            </w:r>
            <w:proofErr w:type="spellEnd"/>
            <w:r>
              <w:t xml:space="preserve"> </w:t>
            </w:r>
          </w:p>
        </w:tc>
      </w:tr>
      <w:tr w:rsidR="00DC7E62" w14:paraId="54DE2C11" w14:textId="77777777">
        <w:tc>
          <w:tcPr>
            <w:tcW w:w="2942" w:type="dxa"/>
            <w:vAlign w:val="center"/>
          </w:tcPr>
          <w:p w14:paraId="5842ED75" w14:textId="77777777" w:rsidR="00DC7E62" w:rsidRDefault="00000000">
            <w:r>
              <w:t xml:space="preserve">Tráfico marítimo </w:t>
            </w:r>
          </w:p>
        </w:tc>
        <w:tc>
          <w:tcPr>
            <w:tcW w:w="1830" w:type="dxa"/>
            <w:vAlign w:val="center"/>
          </w:tcPr>
          <w:p w14:paraId="1A9C8430" w14:textId="77777777" w:rsidR="00DC7E62" w:rsidRDefault="00000000">
            <w:r>
              <w:t xml:space="preserve">Infraestructura </w:t>
            </w:r>
          </w:p>
        </w:tc>
        <w:tc>
          <w:tcPr>
            <w:tcW w:w="4050" w:type="dxa"/>
            <w:vAlign w:val="center"/>
          </w:tcPr>
          <w:p w14:paraId="0187E162" w14:textId="77777777" w:rsidR="00DC7E62" w:rsidRDefault="00000000">
            <w:r>
              <w:t xml:space="preserve">Densidad de embarcaciones asociadas a la flota acuícola. Estimado por densidad de </w:t>
            </w:r>
            <w:proofErr w:type="spellStart"/>
            <w:r>
              <w:t>Kernel</w:t>
            </w:r>
            <w:proofErr w:type="spellEnd"/>
          </w:p>
        </w:tc>
      </w:tr>
    </w:tbl>
    <w:p w14:paraId="6A4D5C3F" w14:textId="77777777" w:rsidR="00DC7E62" w:rsidRDefault="00DC7E62">
      <w:pPr>
        <w:rPr>
          <w:b/>
        </w:rPr>
      </w:pPr>
      <w:bookmarkStart w:id="0" w:name="_heading=h.5st5mnsz7zcl" w:colFirst="0" w:colLast="0"/>
      <w:bookmarkEnd w:id="0"/>
    </w:p>
    <w:p w14:paraId="34D8BA8C" w14:textId="77777777" w:rsidR="00DC7E62" w:rsidRDefault="00000000">
      <w:pPr>
        <w:jc w:val="center"/>
      </w:pPr>
      <w:bookmarkStart w:id="1" w:name="_heading=h.gjdgxs" w:colFirst="0" w:colLast="0"/>
      <w:bookmarkEnd w:id="1"/>
      <w:r>
        <w:rPr>
          <w:b/>
        </w:rPr>
        <w:t>Definición General de presión</w:t>
      </w:r>
    </w:p>
    <w:p w14:paraId="797968A5" w14:textId="77777777" w:rsidR="00DC7E62" w:rsidRDefault="00000000">
      <w:pPr>
        <w:ind w:firstLine="720"/>
        <w:jc w:val="both"/>
      </w:pPr>
      <w:bookmarkStart w:id="2" w:name="_heading=h.a025ul8dbnqw" w:colFirst="0" w:colLast="0"/>
      <w:bookmarkEnd w:id="2"/>
      <w:r>
        <w:t>Factores estresantes antropogénicos que afectan negativamente la capacidad de una meta para entregar beneficios a las personas. Las presiones pueden afectar los sistemas ecológicos o sociales.</w:t>
      </w:r>
    </w:p>
    <w:p w14:paraId="41B06F56" w14:textId="77777777" w:rsidR="00DC7E62" w:rsidRDefault="00000000">
      <w:pPr>
        <w:ind w:firstLine="720"/>
        <w:jc w:val="both"/>
      </w:pPr>
      <w:bookmarkStart w:id="3" w:name="_heading=h.ya4fule2gno8" w:colFirst="0" w:colLast="0"/>
      <w:bookmarkEnd w:id="3"/>
      <w:r>
        <w:t xml:space="preserve">Operativamente se identifican diversos factores (sociales y ecológicos) que están suprimiendo el sistema, se cuantifican para todas las unidades de del área </w:t>
      </w:r>
      <w:proofErr w:type="gramStart"/>
      <w:r>
        <w:t>de  estudio</w:t>
      </w:r>
      <w:proofErr w:type="gramEnd"/>
      <w:r>
        <w:t xml:space="preserve"> (comunas) con puntajes de 0 a 1. También, se considera que cada meta posee un diferente grado de sensibilidad a las presiones que influyen sobre ella, por lo que se clasifica posible nivel de afectación de la presión sobre </w:t>
      </w:r>
      <w:proofErr w:type="gramStart"/>
      <w:r>
        <w:t>la metas</w:t>
      </w:r>
      <w:proofErr w:type="gramEnd"/>
      <w:r>
        <w:t xml:space="preserve"> y sus componentes en una matriz de presiones/metas, con puntajes de 1 a 3. Entonces esta clasificación ayuda a determinar el grado de afectación que cada presión ya cuantificada tendrá en el cálculo final de puntajes de cada comuna. </w:t>
      </w:r>
    </w:p>
    <w:p w14:paraId="28AC1793" w14:textId="77777777" w:rsidR="00DC7E62" w:rsidRDefault="00DC7E62">
      <w:bookmarkStart w:id="4" w:name="_heading=h.bwjvpuo9ofe3" w:colFirst="0" w:colLast="0"/>
      <w:bookmarkEnd w:id="4"/>
    </w:p>
    <w:sectPr w:rsidR="00DC7E62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E62"/>
    <w:rsid w:val="00DC7E62"/>
    <w:rsid w:val="00E3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0B6E"/>
  <w15:docId w15:val="{E41A4587-C6B5-4A06-934A-347681B4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97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F3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29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927FF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A78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A78F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A78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A78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A78FD"/>
    <w:rPr>
      <w:b/>
      <w:bCs/>
      <w:sz w:val="20"/>
      <w:szCs w:val="20"/>
    </w:r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3XiAz+nxlnfCQluE/oK9egON4w==">AMUW2mU2kgQ2kObqc87XEKXadiE4PWgNOVymkKSdF10wOx3aSYcC+iaddZC0pnZrlFRbb36Fd239vaXNBrN3k1u6ahCpOr0aUOHa0TBhGHLVzMGCgQcT10t1HQ3nx/pNzBexhcZoanVuZUpdCj1l47BLkNt2DOa0ewuYrODbS/XKn22dVXtUWGcJ0rUGR0ZMSFx1ZlZ2r4PHyeHpN0pqDD7jwlr3oY2JFfNl8wXdMwboyT1SX03f78TZqV2NXJHK74ykwPnFs0SqTQFAdH+3DnVQhrnYqLletoMN2id/hyxA60eYt/uWz9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vergara</dc:creator>
  <cp:lastModifiedBy>ximena vergara</cp:lastModifiedBy>
  <cp:revision>2</cp:revision>
  <cp:lastPrinted>2023-04-11T13:54:00Z</cp:lastPrinted>
  <dcterms:created xsi:type="dcterms:W3CDTF">2023-04-11T16:25:00Z</dcterms:created>
  <dcterms:modified xsi:type="dcterms:W3CDTF">2023-04-11T16:25:00Z</dcterms:modified>
</cp:coreProperties>
</file>